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13" w:rsidRPr="00D75739" w:rsidRDefault="00CB74B6" w:rsidP="00D7573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eastAsia="de-DE"/>
        </w:rPr>
        <w:pict>
          <v:roundrect id="_x0000_s1035" style="position:absolute;left:0;text-align:left;margin-left:-23pt;margin-top:33.9pt;width:163.65pt;height:29.9pt;z-index:251667456" arcsize="10923f">
            <v:textbox>
              <w:txbxContent>
                <w:p w:rsidR="003E4413" w:rsidRDefault="003E4413" w:rsidP="00B740C2">
                  <w:pPr>
                    <w:jc w:val="center"/>
                  </w:pPr>
                  <w:r>
                    <w:t>Inselstaaten des Pazifiks</w:t>
                  </w:r>
                </w:p>
              </w:txbxContent>
            </v:textbox>
          </v:roundrect>
        </w:pict>
      </w:r>
      <w:r w:rsidR="003E4413" w:rsidRPr="00D75739">
        <w:rPr>
          <w:b/>
          <w:bCs/>
          <w:sz w:val="32"/>
          <w:szCs w:val="32"/>
          <w:u w:val="single"/>
        </w:rPr>
        <w:t>Der asiatisch-pazifischer Raum</w:t>
      </w:r>
      <w:r w:rsidR="007823B7" w:rsidRPr="00D75739">
        <w:rPr>
          <w:b/>
          <w:bCs/>
          <w:sz w:val="32"/>
          <w:szCs w:val="32"/>
          <w:u w:val="single"/>
        </w:rPr>
        <w:t xml:space="preserve"> - Versuch einer Abgrenzung</w:t>
      </w:r>
    </w:p>
    <w:p w:rsidR="007823B7" w:rsidRDefault="007823B7"/>
    <w:p w:rsidR="00FB5998" w:rsidRDefault="00CB74B6">
      <w:bookmarkStart w:id="0" w:name="_GoBack"/>
      <w:bookmarkEnd w:id="0"/>
      <w:r>
        <w:rPr>
          <w:noProof/>
          <w:lang w:eastAsia="de-DE"/>
        </w:rPr>
        <w:pict>
          <v:roundrect id="_x0000_s1052" style="position:absolute;margin-left:-23pt;margin-top:50.4pt;width:163.65pt;height:79.85pt;z-index:251683840" arcsize="10923f">
            <v:textbox>
              <w:txbxContent>
                <w:p w:rsidR="00CB74B6" w:rsidRDefault="00CB74B6" w:rsidP="00CB74B6">
                  <w:pPr>
                    <w:jc w:val="center"/>
                  </w:pPr>
                  <w:r>
                    <w:t>Im Einflussbereich der Konvergenz der Pazifischen Platte sowie der tropischen und außertropischen Monsune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36" style="position:absolute;margin-left:-23pt;margin-top:11.5pt;width:163.65pt;height:29pt;z-index:251668480" arcsize="10923f">
            <v:textbox>
              <w:txbxContent>
                <w:p w:rsidR="003E4413" w:rsidRDefault="00C9250B" w:rsidP="00B740C2">
                  <w:pPr>
                    <w:jc w:val="center"/>
                  </w:pPr>
                  <w:r>
                    <w:t>Länder Ost- und Südostasiens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8pt;margin-top:358.4pt;width:50.65pt;height:79.5pt;z-index:251654140" o:connectortype="straight"/>
        </w:pict>
      </w:r>
      <w:r>
        <w:rPr>
          <w:noProof/>
          <w:lang w:eastAsia="de-DE"/>
        </w:rPr>
        <w:pict>
          <v:shape id="_x0000_s1034" type="#_x0000_t32" style="position:absolute;margin-left:89.05pt;margin-top:358.4pt;width:41.15pt;height:79.5pt;flip:y;z-index:251657215" o:connectortype="straight"/>
        </w:pict>
      </w:r>
      <w:r>
        <w:rPr>
          <w:noProof/>
          <w:lang w:eastAsia="de-DE"/>
        </w:rPr>
        <w:pict>
          <v:roundrect id="_x0000_s1027" style="position:absolute;margin-left:83.45pt;margin-top:270.5pt;width:276.75pt;height:119.7pt;z-index:251659264" arcsize="10923f">
            <v:textbox>
              <w:txbxContent>
                <w:p w:rsidR="003E4413" w:rsidRPr="007823B7" w:rsidRDefault="00D75739" w:rsidP="003E441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="003E4413" w:rsidRPr="0034159F">
                    <w:rPr>
                      <w:b/>
                      <w:bCs/>
                      <w:sz w:val="32"/>
                      <w:szCs w:val="32"/>
                      <w:highlight w:val="green"/>
                    </w:rPr>
                    <w:t>Möglichkeiten der Abgrenzung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margin-left:230.6pt;margin-top:572.95pt;width:158pt;height:.05pt;rotation:90;z-index:251680768" o:connectortype="elbow" adj=",-267818400,-52011"/>
        </w:pict>
      </w:r>
      <w:r>
        <w:rPr>
          <w:noProof/>
          <w:lang w:eastAsia="de-DE"/>
        </w:rPr>
        <w:pict>
          <v:shape id="_x0000_s1049" type="#_x0000_t32" style="position:absolute;margin-left:83pt;margin-top:563.65pt;width:139.3pt;height:0;rotation:90;z-index:251681792" o:connectortype="elbow" adj="-34796,-1,-34796"/>
        </w:pict>
      </w:r>
      <w:r>
        <w:rPr>
          <w:noProof/>
          <w:lang w:eastAsia="de-DE"/>
        </w:rPr>
        <w:pict>
          <v:shape id="_x0000_s1050" type="#_x0000_t32" style="position:absolute;margin-left:234.3pt;margin-top:91.45pt;width:139.3pt;height:0;rotation:90;z-index:251682816" o:connectortype="elbow" adj="-34796,-1,-34796"/>
        </w:pict>
      </w:r>
      <w:r>
        <w:rPr>
          <w:noProof/>
          <w:lang w:eastAsia="de-DE"/>
        </w:rPr>
        <w:pict>
          <v:shape id="_x0000_s1047" type="#_x0000_t32" style="position:absolute;margin-left:71pt;margin-top:91.45pt;width:139.3pt;height:0;rotation:90;z-index:251679744" o:connectortype="elbow" adj="-34796,-1,-34796"/>
        </w:pict>
      </w:r>
      <w:r>
        <w:rPr>
          <w:noProof/>
          <w:lang w:eastAsia="de-DE"/>
        </w:rPr>
        <w:pict>
          <v:roundrect id="_x0000_s1028" style="position:absolute;margin-left:9.1pt;margin-top:437.9pt;width:173.9pt;height:56.1pt;z-index:251660288" arcsize="10923f">
            <v:textbox>
              <w:txbxContent>
                <w:p w:rsidR="003E4413" w:rsidRPr="00D75739" w:rsidRDefault="007823B7" w:rsidP="003E44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br/>
                  </w:r>
                  <w:r w:rsidR="00303FD5" w:rsidRPr="0034159F">
                    <w:rPr>
                      <w:b/>
                      <w:bCs/>
                      <w:sz w:val="28"/>
                      <w:szCs w:val="28"/>
                      <w:highlight w:val="darkGray"/>
                    </w:rPr>
                    <w:t>Entwicklungsstand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29" style="position:absolute;margin-left:274.05pt;margin-top:437.9pt;width:173.9pt;height:56.1pt;z-index:251661312" arcsize="10923f">
            <v:textbox>
              <w:txbxContent>
                <w:p w:rsidR="003E4413" w:rsidRPr="00D75739" w:rsidRDefault="007823B7" w:rsidP="003E44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br/>
                  </w:r>
                  <w:r w:rsidR="003E4413" w:rsidRPr="0034159F">
                    <w:rPr>
                      <w:b/>
                      <w:bCs/>
                      <w:sz w:val="28"/>
                      <w:szCs w:val="28"/>
                      <w:highlight w:val="darkGray"/>
                    </w:rPr>
                    <w:t>kulturell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shape id="_x0000_s1032" type="#_x0000_t32" style="position:absolute;margin-left:309.55pt;margin-top:211.6pt;width:59.1pt;height:105.65pt;flip:y;z-index:251655165" o:connectortype="straight"/>
        </w:pict>
      </w:r>
      <w:r>
        <w:rPr>
          <w:noProof/>
          <w:lang w:eastAsia="de-DE"/>
        </w:rPr>
        <w:pict>
          <v:roundrect id="_x0000_s1030" style="position:absolute;margin-left:277.3pt;margin-top:161.1pt;width:173.9pt;height:55.2pt;z-index:251662336" arcsize="10923f">
            <v:textbox>
              <w:txbxContent>
                <w:p w:rsidR="003E4413" w:rsidRPr="00D75739" w:rsidRDefault="007823B7" w:rsidP="003E44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br/>
                  </w:r>
                  <w:r w:rsidR="00303FD5" w:rsidRPr="0034159F">
                    <w:rPr>
                      <w:b/>
                      <w:bCs/>
                      <w:sz w:val="28"/>
                      <w:szCs w:val="28"/>
                      <w:highlight w:val="darkGray"/>
                    </w:rPr>
                    <w:t>Politik und Wirtschaft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26" style="position:absolute;margin-left:-.7pt;margin-top:161.1pt;width:173.9pt;height:61.7pt;z-index:251658240" arcsize="10923f">
            <v:textbox>
              <w:txbxContent>
                <w:p w:rsidR="003E4413" w:rsidRPr="00D75739" w:rsidRDefault="007823B7" w:rsidP="003E44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br/>
                  </w:r>
                  <w:r w:rsidR="003E4413" w:rsidRPr="0034159F">
                    <w:rPr>
                      <w:b/>
                      <w:bCs/>
                      <w:sz w:val="28"/>
                      <w:szCs w:val="28"/>
                      <w:highlight w:val="darkGray"/>
                    </w:rPr>
                    <w:t>naturgeographisch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shape id="_x0000_s1031" type="#_x0000_t32" style="position:absolute;margin-left:83.45pt;margin-top:222.8pt;width:62.65pt;height:94.45pt;flip:x y;z-index:251656190" o:connectortype="straight"/>
        </w:pict>
      </w:r>
      <w:r>
        <w:rPr>
          <w:noProof/>
          <w:lang w:eastAsia="de-DE"/>
        </w:rPr>
        <w:pict>
          <v:roundrect id="_x0000_s1042" style="position:absolute;margin-left:309.55pt;margin-top:579.1pt;width:187.8pt;height:46.75pt;z-index:251674624" arcsize="10923f">
            <v:textbox>
              <w:txbxContent>
                <w:p w:rsidR="00B740C2" w:rsidRDefault="00B740C2">
                  <w:r>
                    <w:t xml:space="preserve">Altaische, </w:t>
                  </w:r>
                  <w:proofErr w:type="spellStart"/>
                  <w:r>
                    <w:t>Sinotibetische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Austrone</w:t>
                  </w:r>
                  <w:r w:rsidR="007823B7">
                    <w:t>-</w:t>
                  </w:r>
                  <w:r>
                    <w:t>sische</w:t>
                  </w:r>
                  <w:proofErr w:type="spellEnd"/>
                  <w:r>
                    <w:t xml:space="preserve"> und Austroasiatische Sprachen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41" style="position:absolute;margin-left:309.55pt;margin-top:633.3pt;width:163.65pt;height:44.85pt;z-index:251673600" arcsize="10923f">
            <v:textbox>
              <w:txbxContent>
                <w:p w:rsidR="007823B7" w:rsidRDefault="007823B7" w:rsidP="007823B7">
                  <w:pPr>
                    <w:jc w:val="center"/>
                  </w:pPr>
                  <w:r>
                    <w:t>Buddhismus, Konfuzianismus, Shintoismus, Islam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43" style="position:absolute;margin-left:309.55pt;margin-top:533.25pt;width:163.65pt;height:40.25pt;z-index:251675648" arcsize="10923f">
            <v:textbox>
              <w:txbxContent>
                <w:p w:rsidR="00303FD5" w:rsidRDefault="00B740C2" w:rsidP="00B740C2">
                  <w:pPr>
                    <w:jc w:val="center"/>
                  </w:pPr>
                  <w:r>
                    <w:t>Ost- und südostasiatischer Kulturraum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40" style="position:absolute;margin-left:-23pt;margin-top:533.25pt;width:176.55pt;height:28.05pt;z-index:251672576" arcsize="10923f">
            <v:textbox>
              <w:txbxContent>
                <w:p w:rsidR="00303FD5" w:rsidRDefault="00303FD5" w:rsidP="00B740C2">
                  <w:pPr>
                    <w:jc w:val="center"/>
                  </w:pPr>
                  <w:r w:rsidRPr="00B740C2">
                    <w:rPr>
                      <w:b/>
                    </w:rPr>
                    <w:t>hoch</w:t>
                  </w:r>
                  <w:r>
                    <w:t>: Japan, China, Südkorea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38" style="position:absolute;margin-left:-23pt;margin-top:604.35pt;width:176.55pt;height:28.95pt;z-index:251670528" arcsize="10923f">
            <v:textbox>
              <w:txbxContent>
                <w:p w:rsidR="00B740C2" w:rsidRDefault="00B740C2" w:rsidP="00B740C2">
                  <w:pPr>
                    <w:jc w:val="center"/>
                  </w:pPr>
                  <w:r w:rsidRPr="00B740C2">
                    <w:rPr>
                      <w:b/>
                    </w:rPr>
                    <w:t>niedrig</w:t>
                  </w:r>
                  <w:r>
                    <w:t xml:space="preserve">: Laos, </w:t>
                  </w:r>
                  <w:proofErr w:type="spellStart"/>
                  <w:r>
                    <w:t>Kamb</w:t>
                  </w:r>
                  <w:proofErr w:type="spellEnd"/>
                  <w:r>
                    <w:t>, Nordkorea, …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39" style="position:absolute;margin-left:-23pt;margin-top:568.8pt;width:176.55pt;height:30.85pt;z-index:251671552" arcsize="10923f">
            <v:textbox>
              <w:txbxContent>
                <w:p w:rsidR="00303FD5" w:rsidRDefault="00303FD5" w:rsidP="00B740C2">
                  <w:pPr>
                    <w:jc w:val="center"/>
                  </w:pPr>
                  <w:r w:rsidRPr="00B740C2">
                    <w:rPr>
                      <w:b/>
                    </w:rPr>
                    <w:t>mittel</w:t>
                  </w:r>
                  <w:r>
                    <w:t xml:space="preserve">: </w:t>
                  </w:r>
                  <w:r w:rsidR="00B740C2">
                    <w:t>Phil., Taiwan, Indonesien, …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46" style="position:absolute;margin-left:303.95pt;margin-top:88.2pt;width:163.65pt;height:42.05pt;z-index:251678720" arcsize="10923f">
            <v:textbox>
              <w:txbxContent>
                <w:p w:rsidR="00303FD5" w:rsidRPr="00B740C2" w:rsidRDefault="00303FD5" w:rsidP="00303FD5">
                  <w:pPr>
                    <w:jc w:val="center"/>
                    <w:rPr>
                      <w:lang w:val="en-US"/>
                    </w:rPr>
                  </w:pPr>
                  <w:r w:rsidRPr="00B740C2">
                    <w:rPr>
                      <w:lang w:val="en-US"/>
                    </w:rPr>
                    <w:t>SCO</w:t>
                  </w:r>
                  <w:r w:rsidR="00B740C2" w:rsidRPr="00B740C2">
                    <w:rPr>
                      <w:lang w:val="en-US"/>
                    </w:rPr>
                    <w:t xml:space="preserve"> (</w:t>
                  </w:r>
                  <w:proofErr w:type="spellStart"/>
                  <w:r w:rsidR="00B740C2" w:rsidRPr="00B740C2">
                    <w:rPr>
                      <w:lang w:val="en-US"/>
                    </w:rPr>
                    <w:t>nur</w:t>
                  </w:r>
                  <w:proofErr w:type="spellEnd"/>
                  <w:r w:rsidR="00B740C2" w:rsidRPr="00B740C2">
                    <w:rPr>
                      <w:lang w:val="en-US"/>
                    </w:rPr>
                    <w:t xml:space="preserve"> Pak, </w:t>
                  </w:r>
                  <w:proofErr w:type="spellStart"/>
                  <w:r w:rsidR="00B740C2" w:rsidRPr="00B740C2">
                    <w:rPr>
                      <w:lang w:val="en-US"/>
                    </w:rPr>
                    <w:t>Ind</w:t>
                  </w:r>
                  <w:proofErr w:type="spellEnd"/>
                  <w:r w:rsidR="00B740C2" w:rsidRPr="00B740C2">
                    <w:rPr>
                      <w:lang w:val="en-US"/>
                    </w:rPr>
                    <w:t>, Chi, Mya)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45" style="position:absolute;margin-left:303.95pt;margin-top:40.5pt;width:163.65pt;height:40.2pt;z-index:251677696" arcsize="10923f">
            <v:textbox>
              <w:txbxContent>
                <w:p w:rsidR="00303FD5" w:rsidRDefault="00303FD5" w:rsidP="00303FD5">
                  <w:pPr>
                    <w:jc w:val="center"/>
                  </w:pPr>
                  <w:r>
                    <w:t>Vereinte Nationen</w:t>
                  </w:r>
                  <w:r w:rsidR="00B740C2">
                    <w:t xml:space="preserve"> (ohne Taiwan)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44" style="position:absolute;margin-left:303.95pt;margin-top:5.9pt;width:163.65pt;height:28.05pt;z-index:251676672" arcsize="10923f">
            <v:textbox>
              <w:txbxContent>
                <w:p w:rsidR="00303FD5" w:rsidRDefault="00303FD5" w:rsidP="00303FD5">
                  <w:pPr>
                    <w:jc w:val="center"/>
                  </w:pPr>
                  <w:r>
                    <w:t>ASEAN</w:t>
                  </w:r>
                  <w:r w:rsidR="00B740C2">
                    <w:t xml:space="preserve"> (ohne </w:t>
                  </w:r>
                  <w:proofErr w:type="spellStart"/>
                  <w:r w:rsidR="00B740C2">
                    <w:t>Ch</w:t>
                  </w:r>
                  <w:proofErr w:type="spellEnd"/>
                  <w:r w:rsidR="00B740C2">
                    <w:t>, NK, SK, J, T)</w:t>
                  </w:r>
                </w:p>
              </w:txbxContent>
            </v:textbox>
          </v:roundrect>
        </w:pict>
      </w:r>
    </w:p>
    <w:sectPr w:rsidR="00FB5998" w:rsidSect="00FB5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413"/>
    <w:rsid w:val="00114FD2"/>
    <w:rsid w:val="00184EBB"/>
    <w:rsid w:val="00303FD5"/>
    <w:rsid w:val="0034159F"/>
    <w:rsid w:val="003E4413"/>
    <w:rsid w:val="007823B7"/>
    <w:rsid w:val="00B740C2"/>
    <w:rsid w:val="00C9250B"/>
    <w:rsid w:val="00CB74B6"/>
    <w:rsid w:val="00CD3945"/>
    <w:rsid w:val="00D75739"/>
    <w:rsid w:val="00DD215C"/>
    <w:rsid w:val="00E86851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9" type="connector" idref="#_x0000_s1031"/>
        <o:r id="V:Rule10" type="connector" idref="#_x0000_s1047"/>
        <o:r id="V:Rule11" type="connector" idref="#_x0000_s1034"/>
        <o:r id="V:Rule12" type="connector" idref="#_x0000_s1033"/>
        <o:r id="V:Rule13" type="connector" idref="#_x0000_s1049"/>
        <o:r id="V:Rule14" type="connector" idref="#_x0000_s1032"/>
        <o:r id="V:Rule15" type="connector" idref="#_x0000_s1050"/>
        <o:r id="V:Rule16" type="connector" idref="#_x0000_s1048"/>
      </o:rules>
    </o:shapelayout>
  </w:shapeDefaults>
  <w:decimalSymbol w:val=","/>
  <w:listSeparator w:val=";"/>
  <w15:docId w15:val="{2A233401-F46D-400B-9DE7-6B7DADA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Sedelky</dc:creator>
  <cp:lastModifiedBy>Tafel</cp:lastModifiedBy>
  <cp:revision>3</cp:revision>
  <dcterms:created xsi:type="dcterms:W3CDTF">2018-07-05T13:49:00Z</dcterms:created>
  <dcterms:modified xsi:type="dcterms:W3CDTF">2018-09-17T07:11:00Z</dcterms:modified>
</cp:coreProperties>
</file>